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5253039</wp:posOffset>
                      </wp:positionH>
                      <wp:positionV relativeFrom="paragraph">
                        <wp:posOffset>112377</wp:posOffset>
                      </wp:positionV>
                      <wp:extent cx="257175" cy="248031"/>
                      <wp:effectExtent b="0" l="0" r="0" t="0"/>
                      <wp:wrapNone/>
                      <wp:docPr id="11930922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5253039</wp:posOffset>
                      </wp:positionH>
                      <wp:positionV relativeFrom="paragraph">
                        <wp:posOffset>112377</wp:posOffset>
                      </wp:positionV>
                      <wp:extent cx="257175" cy="248031"/>
                      <wp:effectExtent b="0" l="0" r="0" t="0"/>
                      <wp:wrapNone/>
                      <wp:docPr id="119309223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0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1847708</wp:posOffset>
                      </wp:positionH>
                      <wp:positionV relativeFrom="paragraph">
                        <wp:posOffset>113402</wp:posOffset>
                      </wp:positionV>
                      <wp:extent cx="257175" cy="248031"/>
                      <wp:effectExtent b="0" l="0" r="0" t="0"/>
                      <wp:wrapNone/>
                      <wp:docPr id="11930922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1847708</wp:posOffset>
                      </wp:positionH>
                      <wp:positionV relativeFrom="paragraph">
                        <wp:posOffset>113402</wp:posOffset>
                      </wp:positionV>
                      <wp:extent cx="257175" cy="248031"/>
                      <wp:effectExtent b="0" l="0" r="0" t="0"/>
                      <wp:wrapNone/>
                      <wp:docPr id="119309223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0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KATIUZKA BAUTISTA GIRALDO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1.118.306.342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abr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CATORCE MILLONES DOSCIENTOS CUATRO MIL PESOS M/CTE ($14.204.000)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$14.204.000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$3.551.000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$10.653.000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6003646785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2096327325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20/ENERO/2026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ENERO/2026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0515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realización de acciones para la organización y desarrollo de las disciplinas deportivas urbanas a través de la gestión psicosocial mediante la formulación y ejecución de planes de intervención orientados al fortalecimiento del bienestar, la cohesión social y el desarrollo integral de los beneficiarios, en coherencia con los objetivos y estrategias del proyecto, garantizando la adecuada organización, seguimiento y registro de la información del programa.</w:t>
            </w:r>
          </w:p>
          <w:p w:rsidR="00000000" w:rsidDel="00000000" w:rsidP="00000000" w:rsidRDefault="00000000" w:rsidRPr="00000000" w14:paraId="00000085">
            <w:pP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acompañó las acciones para la iniciación y formación deportiva, desarrollando los contenidos psicosociales para el mes de enero en la malla psicosocial del programa, con la finalidad de que los objetivos sean implementados en campo a través de las sesiones que los formadores imparten a los beneficiarios.</w:t>
            </w:r>
          </w:p>
          <w:p w:rsidR="00000000" w:rsidDel="00000000" w:rsidP="00000000" w:rsidRDefault="00000000" w:rsidRPr="00000000" w14:paraId="00000086">
            <w:pPr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técnico en la elaboración y consolidación de los informes técnicos relacionados con la ejecución de las actividades programadas por el proyecto.</w:t>
            </w:r>
          </w:p>
          <w:p w:rsidR="00000000" w:rsidDel="00000000" w:rsidP="00000000" w:rsidRDefault="00000000" w:rsidRPr="00000000" w14:paraId="00000087">
            <w:pP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Durante este periodo el contratista no fue requerido para desarrollar actividades vinculadas al cumplimiento de la obligación. </w:t>
            </w:r>
          </w:p>
          <w:p w:rsidR="00000000" w:rsidDel="00000000" w:rsidP="00000000" w:rsidRDefault="00000000" w:rsidRPr="00000000" w14:paraId="00000088">
            <w:pPr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3.Realizar apoyo técnico en el seguimiento y control de las actividades desarrolladas en campo, conforme a las líneas estratégicas del proyecto, incluyendo los desplazamientos a los diferentes escenarios deportivos y comunitarios utilizados.</w:t>
            </w:r>
          </w:p>
          <w:p w:rsidR="00000000" w:rsidDel="00000000" w:rsidP="00000000" w:rsidRDefault="00000000" w:rsidRPr="00000000" w14:paraId="00000089">
            <w:pP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realizó visitas y acompañamientos a los monitores deportivos de las comunas 14, para verificar la oferta del programa y poder reforzar los contenidos psicosociales en las planificaciones realizadas por los formadores deportivos. </w:t>
            </w:r>
          </w:p>
          <w:p w:rsidR="00000000" w:rsidDel="00000000" w:rsidP="00000000" w:rsidRDefault="00000000" w:rsidRPr="00000000" w14:paraId="0000008A">
            <w:pPr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acompañamiento técnico en las actividades de carácter misional de la Secretaría del Deporte y la Recreación, relacionadas con la ejecución del proyecto.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apoyó y asistió a las diferentes capacitaciones y mesas de trabajo convocadas por el coordinador general del programa, participando activamente junto al grupo primario conformado por el coordinador general, el coordinador técnico y el profesional psicosocial, aportando desde su rol al análisis, articulación y fortalecimiento de los procesos psicosociales, así como a la alineación de criterios técnicos para el adecuado desarrollo de las acciones del proyecto.</w:t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el contratista no fue requerido para desarrollar actividades vinculadas al cumplimiento de la obligación.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https://drive.google.com/drive/u/8/folders/13ub7dsfxyNHiP7_hPvWFExnQPC_p1ShE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t4lq1zifd4hi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u/8/folders/13ub7dsfxyNHiP7_hPvWFExnQPC_p1Sh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Hshh2skyQuloK64VLiH53/TnZg==">CgMxLjAyDmgudDRscTF6aWZkNGhpOAByITF1ZHlZWGMyQXlSVjk1aEtIOXh3M1MwY253UXpKTEM3eg==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2025-08-21T23:03:00Z</dcterms:created>
  <dc:creator>LEYDHER</dc:creator>
</cp:coreProperties>
</file>